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che22"/>
        <w:spacing w:before="360" w:after="0"/>
        <w:ind w:hanging="0" w:left="0"/>
        <w:rPr>
          <w:rFonts w:ascii="Times New Roman" w:hAnsi="Times New Roman"/>
          <w:b/>
          <w:bCs/>
          <w:i/>
          <w:i/>
          <w:iCs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Allegato B – Domanda manifestazione di interesse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i/>
          <w:i/>
          <w:iCs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i/>
          <w:i/>
          <w:iCs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i w:val="false"/>
          <w:i w:val="false"/>
          <w:iCs w:val="false"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i w:val="false"/>
          <w:iCs w:val="false"/>
          <w:color w:val="auto"/>
          <w:sz w:val="22"/>
          <w:szCs w:val="22"/>
        </w:rPr>
        <w:t>DOMANDA DI MANIFESTAZIONE DI INTERESSE</w:t>
      </w:r>
    </w:p>
    <w:p>
      <w:pPr>
        <w:pStyle w:val="sche22"/>
        <w:spacing w:lineRule="auto" w:line="276" w:before="360" w:after="0"/>
        <w:ind w:hanging="0" w:left="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4"/>
          <w:szCs w:val="24"/>
          <w:lang w:val="it-IT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i w:val="false"/>
          <w:iCs w:val="false"/>
          <w:sz w:val="24"/>
          <w:szCs w:val="24"/>
          <w:lang w:val="it-IT"/>
        </w:rPr>
        <w:t>All’</w:t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  <w:lang w:val="it-IT"/>
        </w:rPr>
        <w:t>Unione Montana dei Sibillini</w:t>
      </w:r>
      <w:r>
        <w:rPr>
          <w:rFonts w:ascii="Times New Roman" w:hAnsi="Times New Roman"/>
          <w:i w:val="false"/>
          <w:iCs w:val="false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bidi w:val="0"/>
        <w:ind w:hanging="1276" w:left="1276"/>
        <w:jc w:val="both"/>
        <w:rPr>
          <w:rFonts w:ascii="Garamond" w:hAnsi="Garamond"/>
          <w:b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Pec:</w:t>
      </w:r>
      <w:hyperlink r:id="rId2">
        <w:r>
          <w:rPr>
            <w:rStyle w:val="Hyperlink"/>
            <w:rFonts w:ascii="Times New Roman" w:hAnsi="Times New Roman"/>
            <w:b/>
            <w:i w:val="false"/>
            <w:iCs w:val="false"/>
            <w:sz w:val="24"/>
            <w:szCs w:val="24"/>
          </w:rPr>
          <w:t>unione.sibillini@emarche.it</w:t>
        </w:r>
      </w:hyperlink>
    </w:p>
    <w:p>
      <w:pPr>
        <w:pStyle w:val="Normal"/>
        <w:bidi w:val="0"/>
        <w:ind w:hanging="1276" w:left="1276"/>
        <w:jc w:val="both"/>
        <w:rPr>
          <w:rFonts w:ascii="Times New Roman" w:hAnsi="Times New Roman"/>
          <w:b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bidi w:val="0"/>
        <w:ind w:hanging="1276" w:left="127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OGGETTO: Manifestazione di interesse ad essere invitati alla procedura per l’affidamento del servizio di tesoreria dell’Unione Montana dei Sibillini, periodo 01/10/2025 – 30/09/2030, con possibilità di rinnovo del servizio per ulteriori cinque anni, previa intesa tra le parti.</w:t>
      </w:r>
    </w:p>
    <w:p>
      <w:pPr>
        <w:pStyle w:val="Normal"/>
        <w:bidi w:val="0"/>
        <w:ind w:hanging="1276" w:left="127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Il/La sottoscritto/a _______________________________________ nato/a a__________________     il __________ residente nel Comune di _________________________________(____)  Via/Piazza _____________________________________n__________ in qualità di rappresentante legale o soggetto munito di procura della Società_________________________________________ con sede nel comune di _____________________________________(_____)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Via/Piazza ______________________________________________________________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Codice fiscale____________________________________ partita IVA_______________________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telefono n.___________________   Cellulare__________________________ 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Email__________________________________________________________________________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PEC____________________________________________________________________________</w:t>
      </w:r>
    </w:p>
    <w:p>
      <w:pPr>
        <w:pStyle w:val="sche3"/>
        <w:spacing w:lineRule="auto" w:line="360"/>
        <w:jc w:val="left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</w:r>
    </w:p>
    <w:p>
      <w:pPr>
        <w:pStyle w:val="sche3"/>
        <w:spacing w:lineRule="auto" w:line="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  <w:lang w:val="it-IT"/>
        </w:rPr>
        <w:t>CHIEDE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Che la società___________________________________________________________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sia ammessa a partecipare alla procedura per l’affidamento del servizio di tesoreria dell’Unione Montana dei Sibillini per il periodo 01.10.2025/30.09.2030, con possibilità di rinnovo del servizio per ulteriori cinque anni. Tale servizio verrà affidato ai sensi </w:t>
      </w:r>
      <w:r>
        <w:rPr>
          <w:rFonts w:ascii="Times New Roman" w:hAnsi="Times New Roman"/>
          <w:sz w:val="22"/>
          <w:szCs w:val="22"/>
        </w:rPr>
        <w:t>dell’art. 50, comma 1, lett. b) del D. Lgs. 36/2023.</w:t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 corredo dell’istanza per la partecipazione alla gara in oggetto, consapevole del fatto che, in caso di mendace dichiarazione, verranno applicate nei suoi riguardi, ai sensi degli artt. 75 e 76 del DPR n° 445/2000 e successive modificazioni ed integrazioni, le sanzioni previste dal Codice Penale e dalle leggi speciali in materia di falsità negli atti, oltre alle conseguenze amministrative previste per le procedure relative agli appalti di servizi.</w:t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che3"/>
        <w:spacing w:lineRule="auto" w:line="360"/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</w:r>
    </w:p>
    <w:p>
      <w:pPr>
        <w:pStyle w:val="sche3"/>
        <w:spacing w:lineRule="auto" w:line="3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  <w:lang w:val="it-IT"/>
        </w:rPr>
        <w:t>DICHIARA</w:t>
      </w:r>
    </w:p>
    <w:p>
      <w:pPr>
        <w:pStyle w:val="sche3"/>
        <w:spacing w:lineRule="auto" w:line="36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  <w:lang w:val="it-IT"/>
        </w:rPr>
        <w:t>(ai sensi degli art. 46 e 47 del DPR N° 445/2000)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bidi w:val="0"/>
        <w:spacing w:before="0" w:after="0"/>
        <w:contextualSpacing w:val="false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Di accettare incondizionatamente tutte le clausole e prescrizioni dell’Avviso e dello schema di convenzione approvato con deliberazione consiliare n. 11 del 29.07.2025;</w:t>
      </w:r>
    </w:p>
    <w:p>
      <w:pPr>
        <w:pStyle w:val="ListParagraph"/>
        <w:bidi w:val="0"/>
        <w:spacing w:before="0" w:after="0"/>
        <w:contextualSpacing w:val="fals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bidi w:val="0"/>
        <w:spacing w:before="0" w:after="0"/>
        <w:contextualSpacing w:val="false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Che la società è in possesso di tutti i requisiti di seguito elencati: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Insussistenza delle cause di esclusione previste dal vigente Codice dei Contratti;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Assenza delle condizioni di divieto di cui all’art. 53, comma 16-ter del D.lgs. 165/2001 e ss.mm.ii;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Iscrizione alla C.C.I.A.A. o in uno dei registri professionali o commerciali dello Stato di Residenza se si tratta di uno Stato dell’U.E.;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Autorizzazione a svolgere attività bancaria di cui all’art. 13 del D.Lgs.n. 385/1993 ovvero, per le imprese di altro Stato membro non residenti in Italia, autorizzazione a svolgere attività bancaria secondo la legislazione dello Stato di appartenenza. L’autorizzazione non è necessaria per i soggetti diversi dagli istituti bancari autorizzati per legge a svolgere il servizio di tesoreria per conto degli enti locali;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Per le banche di credito cooperativo, le banche popolari, gli istituti di cooperazione bancaria, costituiti anche in forma consortile, l’iscrizione all’Albo delle Società Cooperative di cui al D.M. 23/06/2004 istituito presso il Ministro delle Attività Produttive ovvero, nel caso di </w:t>
      </w:r>
      <w:r>
        <w:rPr>
          <w:rFonts w:ascii="Times New Roman" w:hAnsi="Times New Roman"/>
          <w:bCs/>
          <w:sz w:val="24"/>
          <w:szCs w:val="24"/>
        </w:rPr>
        <w:t>Istituti</w:t>
      </w:r>
      <w:r>
        <w:rPr>
          <w:rFonts w:ascii="Times New Roman" w:hAnsi="Times New Roman"/>
          <w:bCs/>
          <w:sz w:val="24"/>
          <w:szCs w:val="24"/>
        </w:rPr>
        <w:t xml:space="preserve"> residenti in altri Stati membri, l’iscrizione presso analogo registro previsto dalla legislazione dello Stato di appartenenza;</w:t>
      </w:r>
    </w:p>
    <w:p>
      <w:pPr>
        <w:pStyle w:val="Normal"/>
        <w:numPr>
          <w:ilvl w:val="0"/>
          <w:numId w:val="2"/>
        </w:numPr>
        <w:suppressAutoHyphens w:val="tru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Requisiti specifici di Capacità tecnico-professionale. I soggetti che intendono partecipare alla gara sono tenuti a dimostrare:</w:t>
      </w:r>
    </w:p>
    <w:p>
      <w:pPr>
        <w:pStyle w:val="Normal"/>
        <w:suppressAutoHyphens w:val="true"/>
        <w:bidi w:val="0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numPr>
          <w:ilvl w:val="0"/>
          <w:numId w:val="7"/>
        </w:numPr>
        <w:tabs>
          <w:tab w:val="clear" w:pos="709"/>
          <w:tab w:val="left" w:pos="2575" w:leader="none"/>
        </w:tabs>
        <w:bidi w:val="0"/>
        <w:spacing w:lineRule="auto" w:line="276" w:before="0" w:after="120"/>
        <w:ind w:hanging="284" w:left="128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di aver gestito con buon esito nell’ultimo triennio (2022/2023/2024) almeno un servizio di tesoreria, con gestione informatica dei movimenti e dei documenti informatici, ivi compresa la firma elettronica attraverso il sistema Siope+ per un comune o ente locale, avente un numero complessivo di abitanti inferiore a n. 10.000 </w:t>
      </w:r>
      <w:r>
        <w:rPr>
          <w:rFonts w:ascii="Times New Roman" w:hAnsi="Times New Roman"/>
          <w:color w:val="111111"/>
          <w:sz w:val="24"/>
          <w:szCs w:val="24"/>
        </w:rPr>
        <w:t>(</w:t>
      </w:r>
      <w:r>
        <w:rPr>
          <w:rFonts w:ascii="Times New Roman" w:hAnsi="Times New Roman"/>
          <w:color w:val="111111"/>
          <w:sz w:val="24"/>
          <w:szCs w:val="24"/>
        </w:rPr>
        <w:t>diecimila abitanti</w:t>
      </w:r>
      <w:r>
        <w:rPr>
          <w:rFonts w:ascii="Times New Roman" w:hAnsi="Times New Roman"/>
          <w:color w:val="111111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da comprovare allegando un elenco dei principali servizi analoghi a quelli oggetto del presente appalto con riferimento al CPV che lo descrive, con l’indicazione degli importi, delle date e dei destinatari dei servizi stessi. </w:t>
      </w:r>
    </w:p>
    <w:p>
      <w:pPr>
        <w:pStyle w:val="Normal"/>
        <w:numPr>
          <w:ilvl w:val="0"/>
          <w:numId w:val="8"/>
        </w:numPr>
        <w:tabs>
          <w:tab w:val="clear" w:pos="709"/>
          <w:tab w:val="left" w:pos="2575" w:leader="none"/>
        </w:tabs>
        <w:bidi w:val="0"/>
        <w:spacing w:lineRule="auto" w:line="276" w:before="0" w:after="120"/>
        <w:ind w:hanging="284" w:left="128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disporre, alla data di presentazione dell’offerta di almeno 1 (una) filiale con sportello bancario attivo distante massimo</w:t>
      </w:r>
      <w:r>
        <w:rPr>
          <w:rFonts w:ascii="Times New Roman" w:hAnsi="Times New Roman"/>
          <w:color w:val="111111"/>
          <w:sz w:val="24"/>
          <w:szCs w:val="24"/>
        </w:rPr>
        <w:t xml:space="preserve"> </w:t>
      </w:r>
      <w:r>
        <w:rPr>
          <w:rFonts w:ascii="Times New Roman" w:hAnsi="Times New Roman"/>
          <w:color w:val="111111"/>
          <w:sz w:val="24"/>
          <w:szCs w:val="24"/>
        </w:rPr>
        <w:t>1</w:t>
      </w:r>
      <w:r>
        <w:rPr>
          <w:rFonts w:ascii="Times New Roman" w:hAnsi="Times New Roman"/>
          <w:color w:val="111111"/>
          <w:sz w:val="24"/>
          <w:szCs w:val="24"/>
        </w:rPr>
        <w:t>8 km</w:t>
      </w:r>
      <w:r>
        <w:rPr>
          <w:rFonts w:ascii="Times New Roman" w:hAnsi="Times New Roman"/>
          <w:color w:val="FF54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dal Comune di Santa Vittoria in Matenano (FM), sede dell’Ente, abilitato al servizio di tesoreria o l’impegno, a pena di decadenza dell’affidamento, che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a far data d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ll’inizio dell’esecuzione del contratto sarà operativo e a mantenerlo attivo fino al termine dell’affidamento pena la risoluzione del contratto. Il possesso di tale requisito, indispensabile per la partecipazione alla procedura, è giustificato dalla presenza di una determinata fascia di utenti, costituita da soggetti in situazione di fragilità sociale che spesso non hanno conti bancari o postali su cui far pervenire i pagamenti, per i quali rappresenta un vantaggio disporre di una filiale nei pressi del domicilio. </w:t>
      </w:r>
    </w:p>
    <w:p>
      <w:pPr>
        <w:pStyle w:val="Normal"/>
        <w:numPr>
          <w:ilvl w:val="0"/>
          <w:numId w:val="9"/>
        </w:numPr>
        <w:tabs>
          <w:tab w:val="clear" w:pos="709"/>
          <w:tab w:val="left" w:pos="2575" w:leader="none"/>
        </w:tabs>
        <w:bidi w:val="0"/>
        <w:spacing w:lineRule="auto" w:line="276" w:before="0" w:after="120"/>
        <w:ind w:hanging="284" w:left="128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disporre della figura di un Referente per la gestione del Servizio di Tesoreria, a disposizione dell’Ente per ogni necessità operativa, del quale va indicato il numero diretto del telefono aziendale ed il relativo indirizzo di posta elettronica.</w:t>
      </w:r>
    </w:p>
    <w:p>
      <w:pPr>
        <w:pStyle w:val="Normal"/>
        <w:bidi w:val="0"/>
        <w:spacing w:lineRule="auto" w:line="288" w:before="240" w:after="240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Luogo e data</w:t>
      </w:r>
      <w:r>
        <w:rPr>
          <w:rFonts w:ascii="Times New Roman" w:hAnsi="Times New Roman"/>
          <w:sz w:val="24"/>
          <w:szCs w:val="24"/>
        </w:rPr>
        <w:t xml:space="preserve"> _____________________, lì ____/____/_____</w:t>
      </w:r>
    </w:p>
    <w:p>
      <w:pPr>
        <w:pStyle w:val="sche3"/>
        <w:spacing w:lineRule="auto" w:line="288" w:before="240" w:after="240"/>
        <w:ind w:left="5529"/>
        <w:jc w:val="left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</w:r>
    </w:p>
    <w:p>
      <w:pPr>
        <w:pStyle w:val="sche3"/>
        <w:spacing w:lineRule="auto" w:line="288" w:before="240" w:after="240"/>
        <w:ind w:left="5529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  <w:lang w:val="it-IT"/>
        </w:rPr>
        <w:t>Firma del richiedente</w:t>
      </w:r>
    </w:p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1876"/>
        </w:tabs>
        <w:ind w:left="1876" w:hanging="360"/>
      </w:pPr>
      <w:rPr>
        <w:b w:val="false"/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1592"/>
        </w:tabs>
        <w:ind w:left="1592" w:hanging="360"/>
      </w:pPr>
      <w:rPr>
        <w:b w:val="false"/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2492"/>
        </w:tabs>
        <w:ind w:left="249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  <w:rPr>
        <w:rFonts w:cs="Times New Roman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1876"/>
        </w:tabs>
        <w:ind w:left="1876" w:hanging="360"/>
      </w:pPr>
      <w:rPr>
        <w:b w:val="false"/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1592"/>
        </w:tabs>
        <w:ind w:left="1592" w:hanging="360"/>
      </w:pPr>
      <w:rPr>
        <w:b w:val="false"/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2492"/>
        </w:tabs>
        <w:ind w:left="249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  <w:rPr>
        <w:rFonts w:cs="Times New Roman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1876"/>
        </w:tabs>
        <w:ind w:left="1876" w:hanging="360"/>
      </w:pPr>
      <w:rPr>
        <w:b w:val="false"/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1592"/>
        </w:tabs>
        <w:ind w:left="1592" w:hanging="360"/>
      </w:pPr>
      <w:rPr>
        <w:b w:val="false"/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2492"/>
        </w:tabs>
        <w:ind w:left="249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  <w:rPr>
        <w:rFonts w:cs="Times New Roman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3"/>
    <w:lvlOverride w:ilvl="0">
      <w:startOverride w:val="1"/>
    </w:lvlOverride>
  </w:num>
  <w:num w:numId="8">
    <w:abstractNumId w:val="3"/>
  </w:num>
  <w:num w:numId="9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character" w:styleId="Hyperlink">
    <w:name w:val="Hyperlink"/>
    <w:rPr>
      <w:color w:val="0000FF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libri" w:cs="Lucida Sans"/>
      <w:color w:val="000000"/>
      <w:kern w:val="0"/>
      <w:sz w:val="24"/>
      <w:szCs w:val="24"/>
      <w:lang w:val="it-IT" w:eastAsia="en-US" w:bidi="hi-IN"/>
      <w14:ligatures w14:val="none"/>
    </w:rPr>
  </w:style>
  <w:style w:type="paragraph" w:styleId="sche22">
    <w:name w:val="sche2_2"/>
    <w:qFormat/>
    <w:pPr>
      <w:widowControl w:val="false"/>
      <w:suppressAutoHyphens w:val="true"/>
      <w:bidi w:val="0"/>
      <w:spacing w:before="0" w:after="0"/>
      <w:jc w:val="right"/>
    </w:pPr>
    <w:rPr>
      <w:rFonts w:ascii="Liberation Serif" w:hAnsi="Liberation Serif" w:eastAsia="NSimSun" w:cs="Lucida Sans"/>
      <w:color w:val="auto"/>
      <w:kern w:val="0"/>
      <w:sz w:val="24"/>
      <w:szCs w:val="24"/>
      <w:lang w:val="en-US" w:eastAsia="zh-CN" w:bidi="hi-IN"/>
      <w14:ligatures w14:val="none"/>
    </w:rPr>
  </w:style>
  <w:style w:type="paragraph" w:styleId="sche3">
    <w:name w:val="sche_3"/>
    <w:qFormat/>
    <w:pPr>
      <w:widowControl w:val="false"/>
      <w:suppressAutoHyphens w:val="true"/>
      <w:bidi w:val="0"/>
      <w:spacing w:before="0" w:after="0"/>
      <w:jc w:val="both"/>
    </w:pPr>
    <w:rPr>
      <w:rFonts w:ascii="Liberation Serif" w:hAnsi="Liberation Serif" w:eastAsia="NSimSun" w:cs="Lucida Sans"/>
      <w:color w:val="auto"/>
      <w:kern w:val="0"/>
      <w:sz w:val="24"/>
      <w:szCs w:val="24"/>
      <w:lang w:val="en-US" w:eastAsia="zh-CN" w:bidi="hi-IN"/>
      <w14:ligatures w14:val="none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nione.sibillini@emarche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103</TotalTime>
  <Application>LibreOffice/25.2.4.1$Windows_X86_64 LibreOffice_project/09303ce8b49f86f106fccd32b1324662053027cc</Application>
  <AppVersion>15.0000</AppVersion>
  <Pages>2</Pages>
  <Words>708</Words>
  <Characters>4769</Characters>
  <CharactersWithSpaces>5907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2025-08-19T18:28:51Z</dcterms:created>
  <dc:creator/>
  <dc:description/>
  <dc:language>it-IT</dc:language>
  <cp:lastModifiedBy/>
  <cp:lastPrinted>2025-08-21T11:09:23Z</cp:lastPrinted>
  <dcterms:modified xsi:type="dcterms:W3CDTF">2025-08-21T12:22:57Z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